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FDF" w:rsidRPr="003D1553" w:rsidRDefault="00476FDF" w:rsidP="00167470">
      <w:pPr>
        <w:pStyle w:val="Heading4"/>
        <w:rPr>
          <w:lang w:val="en-GB"/>
        </w:rPr>
      </w:pPr>
    </w:p>
    <w:p w:rsidR="00476FDF" w:rsidRPr="003D1553" w:rsidRDefault="00476FDF" w:rsidP="00167470">
      <w:pPr>
        <w:pStyle w:val="Heading4"/>
        <w:rPr>
          <w:lang w:val="en-GB"/>
        </w:rPr>
      </w:pPr>
    </w:p>
    <w:p w:rsidR="00476FDF" w:rsidRPr="003D1553" w:rsidRDefault="00476FDF" w:rsidP="00167470">
      <w:pPr>
        <w:pStyle w:val="Heading4"/>
        <w:rPr>
          <w:lang w:val="en-GB"/>
        </w:rPr>
      </w:pPr>
      <w:r w:rsidRPr="003D1553">
        <w:rPr>
          <w:lang w:val="en-GB"/>
        </w:rPr>
        <w:t>Post</w:t>
      </w:r>
      <w:r>
        <w:rPr>
          <w:lang w:val="en-GB"/>
        </w:rPr>
        <w:t xml:space="preserve"> </w:t>
      </w:r>
      <w:r w:rsidRPr="003D1553">
        <w:rPr>
          <w:lang w:val="en-GB"/>
        </w:rPr>
        <w:t xml:space="preserve">processing plugin </w:t>
      </w:r>
      <w:hyperlink r:id="rId7" w:history="1">
        <w:r w:rsidRPr="003D1553">
          <w:rPr>
            <w:rStyle w:val="Hyperlink"/>
            <w:lang w:val="en-GB"/>
          </w:rPr>
          <w:t>ShowLBTapproachR3</w:t>
        </w:r>
      </w:hyperlink>
      <w:r w:rsidRPr="003D1553">
        <w:rPr>
          <w:lang w:val="en-GB"/>
        </w:rPr>
        <w:t xml:space="preserve">  </w:t>
      </w:r>
      <w:r w:rsidRPr="003D1553">
        <w:rPr>
          <w:rStyle w:val="FootnoteReference"/>
          <w:lang w:val="en-GB"/>
        </w:rPr>
        <w:footnoteReference w:id="1"/>
      </w:r>
    </w:p>
    <w:p w:rsidR="00476FDF" w:rsidRPr="003D1553" w:rsidRDefault="00476FDF" w:rsidP="00167470">
      <w:pPr>
        <w:rPr>
          <w:lang w:val="en-GB"/>
        </w:rPr>
      </w:pPr>
    </w:p>
    <w:p w:rsidR="00476FDF" w:rsidRDefault="00476FDF" w:rsidP="00167470">
      <w:pPr>
        <w:rPr>
          <w:lang w:val="en-GB"/>
        </w:rPr>
      </w:pPr>
      <w:r w:rsidRPr="003D1553">
        <w:rPr>
          <w:lang w:val="en-GB"/>
        </w:rPr>
        <w:t>This plugin is not intended to offer a solution for simulati</w:t>
      </w:r>
      <w:r>
        <w:rPr>
          <w:lang w:val="en-GB"/>
        </w:rPr>
        <w:t>ng some</w:t>
      </w:r>
      <w:r w:rsidRPr="003D1553">
        <w:rPr>
          <w:lang w:val="en-GB"/>
        </w:rPr>
        <w:t xml:space="preserve"> kind of time domain behaviour with SEAMCAT, it only wants to show how some of such a behaviour could </w:t>
      </w:r>
      <w:r>
        <w:rPr>
          <w:lang w:val="en-GB"/>
        </w:rPr>
        <w:t>comparatively easily</w:t>
      </w:r>
      <w:r w:rsidRPr="003D1553">
        <w:rPr>
          <w:lang w:val="en-GB"/>
        </w:rPr>
        <w:t xml:space="preserve"> be simulated using a plugin. It is up to </w:t>
      </w:r>
      <w:r>
        <w:rPr>
          <w:lang w:val="en-GB"/>
        </w:rPr>
        <w:t>those</w:t>
      </w:r>
      <w:r w:rsidRPr="003D1553">
        <w:rPr>
          <w:lang w:val="en-GB"/>
        </w:rPr>
        <w:t xml:space="preserve"> request</w:t>
      </w:r>
      <w:r>
        <w:rPr>
          <w:lang w:val="en-GB"/>
        </w:rPr>
        <w:t>ing</w:t>
      </w:r>
      <w:r w:rsidRPr="003D1553">
        <w:rPr>
          <w:lang w:val="en-GB"/>
        </w:rPr>
        <w:t xml:space="preserve"> the consideration of the time domain </w:t>
      </w:r>
      <w:r>
        <w:rPr>
          <w:lang w:val="en-GB"/>
        </w:rPr>
        <w:t>during</w:t>
      </w:r>
      <w:r w:rsidRPr="003D1553">
        <w:rPr>
          <w:lang w:val="en-GB"/>
        </w:rPr>
        <w:t xml:space="preserve"> SEAMCAT simulations</w:t>
      </w:r>
      <w:r>
        <w:rPr>
          <w:lang w:val="en-GB"/>
        </w:rPr>
        <w:t>,</w:t>
      </w:r>
      <w:r w:rsidRPr="003D1553">
        <w:rPr>
          <w:lang w:val="en-GB"/>
        </w:rPr>
        <w:t xml:space="preserve"> to decide if </w:t>
      </w:r>
      <w:r>
        <w:rPr>
          <w:lang w:val="en-GB"/>
        </w:rPr>
        <w:t xml:space="preserve">it </w:t>
      </w:r>
      <w:r w:rsidRPr="003D1553">
        <w:rPr>
          <w:lang w:val="en-GB"/>
        </w:rPr>
        <w:t>and</w:t>
      </w:r>
      <w:r>
        <w:rPr>
          <w:lang w:val="en-GB"/>
        </w:rPr>
        <w:t>,</w:t>
      </w:r>
      <w:r w:rsidRPr="003D1553">
        <w:rPr>
          <w:lang w:val="en-GB"/>
        </w:rPr>
        <w:t xml:space="preserve"> which of </w:t>
      </w:r>
      <w:r>
        <w:rPr>
          <w:lang w:val="en-GB"/>
        </w:rPr>
        <w:t>it</w:t>
      </w:r>
      <w:r w:rsidRPr="003D1553">
        <w:rPr>
          <w:lang w:val="en-GB"/>
        </w:rPr>
        <w:t xml:space="preserve"> could be implemented by defining also the parameters</w:t>
      </w:r>
      <w:r>
        <w:rPr>
          <w:lang w:val="en-GB"/>
        </w:rPr>
        <w:t xml:space="preserve"> </w:t>
      </w:r>
      <w:r w:rsidRPr="003D1553">
        <w:rPr>
          <w:lang w:val="en-GB"/>
        </w:rPr>
        <w:t>needed</w:t>
      </w:r>
      <w:r>
        <w:rPr>
          <w:lang w:val="en-GB"/>
        </w:rPr>
        <w:t xml:space="preserve"> and their values</w:t>
      </w:r>
      <w:r w:rsidRPr="003D1553">
        <w:rPr>
          <w:lang w:val="en-GB"/>
        </w:rPr>
        <w:t>.</w:t>
      </w:r>
    </w:p>
    <w:p w:rsidR="00476FDF" w:rsidRDefault="00476FDF" w:rsidP="00167470">
      <w:pPr>
        <w:rPr>
          <w:lang w:val="en-GB"/>
        </w:rPr>
      </w:pPr>
    </w:p>
    <w:p w:rsidR="00476FDF" w:rsidRDefault="00476FDF" w:rsidP="000A72FD">
      <w:pPr>
        <w:rPr>
          <w:lang w:val="en-GB"/>
        </w:rPr>
      </w:pPr>
      <w:r w:rsidRPr="003D1553">
        <w:rPr>
          <w:lang w:val="en-GB"/>
        </w:rPr>
        <w:t xml:space="preserve">The source code is available as </w:t>
      </w:r>
      <w:hyperlink r:id="rId8" w:history="1">
        <w:r w:rsidRPr="003D1553">
          <w:rPr>
            <w:rStyle w:val="Hyperlink"/>
            <w:lang w:val="en-GB"/>
          </w:rPr>
          <w:t>annex</w:t>
        </w:r>
      </w:hyperlink>
      <w:r w:rsidRPr="003D1553">
        <w:rPr>
          <w:lang w:val="en-GB"/>
        </w:rPr>
        <w:t xml:space="preserve"> to this description. It should be noted that it has not been written by a professional Java programmer </w:t>
      </w:r>
      <w:r w:rsidRPr="003D1553">
        <w:rPr>
          <w:szCs w:val="22"/>
          <w:lang w:val="en-GB"/>
        </w:rPr>
        <w:sym w:font="Wingdings" w:char="F04A"/>
      </w:r>
    </w:p>
    <w:p w:rsidR="00476FDF" w:rsidRDefault="00476FDF" w:rsidP="000A72FD">
      <w:pPr>
        <w:rPr>
          <w:lang w:val="en-GB"/>
        </w:rPr>
      </w:pPr>
    </w:p>
    <w:p w:rsidR="00476FDF" w:rsidRPr="003017BA" w:rsidRDefault="00476FDF" w:rsidP="000A72FD">
      <w:pPr>
        <w:rPr>
          <w:i/>
          <w:lang w:val="en-GB"/>
        </w:rPr>
      </w:pPr>
      <w:r w:rsidRPr="003017BA">
        <w:rPr>
          <w:i/>
          <w:lang w:val="en-GB"/>
        </w:rPr>
        <w:t xml:space="preserve">Note: </w:t>
      </w:r>
      <w:r>
        <w:rPr>
          <w:i/>
          <w:lang w:val="en-GB"/>
        </w:rPr>
        <w:br/>
      </w:r>
      <w:r w:rsidRPr="003017BA">
        <w:rPr>
          <w:i/>
          <w:lang w:val="en-GB"/>
        </w:rPr>
        <w:t xml:space="preserve">the plugin </w:t>
      </w:r>
      <w:r>
        <w:rPr>
          <w:i/>
          <w:lang w:val="en-GB"/>
        </w:rPr>
        <w:t xml:space="preserve">itself </w:t>
      </w:r>
      <w:r w:rsidRPr="003017BA">
        <w:rPr>
          <w:i/>
          <w:lang w:val="en-GB"/>
        </w:rPr>
        <w:t>could “serve” more than one interfering system (interfering link) but it does not distinguish between</w:t>
      </w:r>
      <w:r>
        <w:rPr>
          <w:i/>
          <w:lang w:val="en-GB"/>
        </w:rPr>
        <w:t xml:space="preserve"> those</w:t>
      </w:r>
      <w:r w:rsidRPr="003017BA">
        <w:rPr>
          <w:i/>
          <w:lang w:val="en-GB"/>
        </w:rPr>
        <w:t xml:space="preserve"> in terms of assigning </w:t>
      </w:r>
      <w:r>
        <w:rPr>
          <w:i/>
          <w:lang w:val="en-GB"/>
        </w:rPr>
        <w:t xml:space="preserve">each a </w:t>
      </w:r>
      <w:r w:rsidRPr="003017BA">
        <w:rPr>
          <w:i/>
          <w:lang w:val="en-GB"/>
        </w:rPr>
        <w:t>different behaviour.</w:t>
      </w:r>
      <w:r>
        <w:rPr>
          <w:i/>
          <w:lang w:val="en-GB"/>
        </w:rPr>
        <w:t xml:space="preserve"> It has also to be noted that the plugin does neither consider any antenna pattern nor any transmitter masks nor other propagation models than Extended Hata. It assumes always a co-channel outdoor scenario. The author is of the opinion that it is at that stage sufficient to show the principle. Further details might be a matter of subsequent versions. </w:t>
      </w:r>
    </w:p>
    <w:p w:rsidR="00476FDF" w:rsidRDefault="00476FDF" w:rsidP="00167470">
      <w:pPr>
        <w:rPr>
          <w:lang w:val="en-GB"/>
        </w:rPr>
      </w:pPr>
    </w:p>
    <w:p w:rsidR="00476FDF" w:rsidRDefault="00476FDF" w:rsidP="00167470">
      <w:pPr>
        <w:rPr>
          <w:lang w:val="en-GB"/>
        </w:rPr>
      </w:pPr>
      <w:r w:rsidRPr="000A72FD">
        <w:rPr>
          <w:b/>
          <w:sz w:val="24"/>
          <w:lang w:val="en-GB"/>
        </w:rPr>
        <w:t>Important note:</w:t>
      </w:r>
      <w:r w:rsidRPr="00BD384E">
        <w:rPr>
          <w:sz w:val="24"/>
          <w:lang w:val="en-GB"/>
        </w:rPr>
        <w:t xml:space="preserve"> </w:t>
      </w:r>
      <w:r>
        <w:rPr>
          <w:lang w:val="en-GB"/>
        </w:rPr>
        <w:br/>
        <w:t>this plugin assumes the duty cycle as the active fraction of an interval time, i.e.</w:t>
      </w:r>
    </w:p>
    <w:p w:rsidR="00476FDF" w:rsidRDefault="00476FDF" w:rsidP="00167470">
      <w:pPr>
        <w:rPr>
          <w:lang w:val="en-GB"/>
        </w:rPr>
      </w:pPr>
    </w:p>
    <w:p w:rsidR="00476FDF" w:rsidRPr="00DB06F8" w:rsidRDefault="00476FDF" w:rsidP="00167470">
      <w:pPr>
        <w:rPr>
          <w:lang w:val="en-US"/>
        </w:rPr>
      </w:pPr>
      <w:r w:rsidRPr="00AF1FD6">
        <w:rPr>
          <w:position w:val="-30"/>
          <w:lang w:val="en-GB"/>
        </w:rPr>
        <w:object w:dxaOrig="16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33.75pt" o:ole="">
            <v:imagedata r:id="rId9" o:title=""/>
          </v:shape>
          <o:OLEObject Type="Embed" ProgID="Equation.DSMT4" ShapeID="_x0000_i1025" DrawAspect="Content" ObjectID="_1410590386" r:id="rId10"/>
        </w:object>
      </w:r>
      <w:r>
        <w:rPr>
          <w:lang w:val="en-GB"/>
        </w:rPr>
        <w:t xml:space="preserve">  with </w:t>
      </w:r>
      <w:r w:rsidRPr="00515672">
        <w:rPr>
          <w:position w:val="-14"/>
          <w:lang w:val="en-GB"/>
        </w:rPr>
        <w:object w:dxaOrig="3040" w:dyaOrig="380">
          <v:shape id="_x0000_i1026" type="#_x0000_t75" style="width:150.75pt;height:19.5pt" o:ole="">
            <v:imagedata r:id="rId11" o:title=""/>
          </v:shape>
          <o:OLEObject Type="Embed" ProgID="Equation.DSMT4" ShapeID="_x0000_i1026" DrawAspect="Content" ObjectID="_1410590387" r:id="rId12"/>
        </w:object>
      </w:r>
    </w:p>
    <w:p w:rsidR="00476FDF" w:rsidRPr="003D1553" w:rsidRDefault="00476FDF" w:rsidP="00167470">
      <w:pPr>
        <w:rPr>
          <w:lang w:val="en-GB"/>
        </w:rPr>
      </w:pPr>
      <w:r w:rsidRPr="0031616F">
        <w:rPr>
          <w:lang w:val="en-US"/>
        </w:rPr>
        <w:t xml:space="preserve">and </w:t>
      </w:r>
      <w:r w:rsidRPr="00515672">
        <w:rPr>
          <w:position w:val="-24"/>
          <w:lang w:val="en-GB"/>
        </w:rPr>
        <w:object w:dxaOrig="3060" w:dyaOrig="620">
          <v:shape id="_x0000_i1027" type="#_x0000_t75" style="width:153pt;height:30.75pt" o:ole="">
            <v:imagedata r:id="rId13" o:title=""/>
          </v:shape>
          <o:OLEObject Type="Embed" ProgID="Equation.DSMT4" ShapeID="_x0000_i1027" DrawAspect="Content" ObjectID="_1410590388" r:id="rId14"/>
        </w:object>
      </w:r>
      <w:r w:rsidRPr="0031616F">
        <w:rPr>
          <w:lang w:val="en-US"/>
        </w:rPr>
        <w:t>with DC in percent.</w:t>
      </w:r>
    </w:p>
    <w:p w:rsidR="00476FDF" w:rsidRPr="003D1553" w:rsidRDefault="00476FDF" w:rsidP="00167470">
      <w:pPr>
        <w:rPr>
          <w:lang w:val="en-GB"/>
        </w:rPr>
      </w:pPr>
    </w:p>
    <w:p w:rsidR="00476FDF" w:rsidRPr="003D1553" w:rsidRDefault="00476FDF" w:rsidP="00167470">
      <w:pPr>
        <w:rPr>
          <w:b/>
          <w:lang w:val="en-GB"/>
        </w:rPr>
      </w:pPr>
    </w:p>
    <w:p w:rsidR="00476FDF" w:rsidRPr="003D1553" w:rsidRDefault="00476FDF" w:rsidP="00167470">
      <w:pPr>
        <w:rPr>
          <w:b/>
          <w:lang w:val="en-GB"/>
        </w:rPr>
      </w:pPr>
      <w:r w:rsidRPr="003D1553">
        <w:rPr>
          <w:b/>
          <w:lang w:val="en-GB"/>
        </w:rPr>
        <w:t>Description of „How it works”</w:t>
      </w:r>
    </w:p>
    <w:p w:rsidR="00476FDF" w:rsidRPr="003D1553" w:rsidRDefault="00476FDF" w:rsidP="00167470">
      <w:pPr>
        <w:rPr>
          <w:lang w:val="en-GB"/>
        </w:rPr>
      </w:pPr>
    </w:p>
    <w:p w:rsidR="00476FDF" w:rsidRPr="003D1553" w:rsidRDefault="00476FDF" w:rsidP="00167470">
      <w:pPr>
        <w:rPr>
          <w:lang w:val="en-GB"/>
        </w:rPr>
      </w:pPr>
      <w:r w:rsidRPr="003D1553">
        <w:rPr>
          <w:lang w:val="en-GB"/>
        </w:rPr>
        <w:t xml:space="preserve">As a post processing plugin it is called </w:t>
      </w:r>
      <w:r w:rsidRPr="003D1553">
        <w:rPr>
          <w:b/>
          <w:lang w:val="en-GB"/>
        </w:rPr>
        <w:t>after</w:t>
      </w:r>
      <w:r w:rsidRPr="003D1553">
        <w:rPr>
          <w:lang w:val="en-GB"/>
        </w:rPr>
        <w:t xml:space="preserve"> each snapshot of the SEAMCAT simulation.</w:t>
      </w:r>
      <w:r>
        <w:rPr>
          <w:lang w:val="en-GB"/>
        </w:rPr>
        <w:t xml:space="preserve"> Therefore it can only “manipulate” simulated results.</w:t>
      </w:r>
      <w:r>
        <w:rPr>
          <w:lang w:val="en-GB"/>
        </w:rPr>
        <w:br/>
      </w:r>
    </w:p>
    <w:p w:rsidR="00476FDF" w:rsidRPr="003D1553" w:rsidRDefault="00476FDF" w:rsidP="00167470">
      <w:pPr>
        <w:rPr>
          <w:lang w:val="en-GB"/>
        </w:rPr>
      </w:pPr>
      <w:r w:rsidRPr="003D1553">
        <w:rPr>
          <w:lang w:val="en-GB"/>
        </w:rPr>
        <w:t>It offers these options:</w:t>
      </w:r>
    </w:p>
    <w:p w:rsidR="00476FDF" w:rsidRPr="003D1553" w:rsidRDefault="00476FDF" w:rsidP="00167470">
      <w:pPr>
        <w:rPr>
          <w:lang w:val="en-GB"/>
        </w:rPr>
      </w:pPr>
    </w:p>
    <w:p w:rsidR="00476FDF" w:rsidRPr="003D1553" w:rsidRDefault="00476FDF" w:rsidP="00167470">
      <w:pPr>
        <w:pStyle w:val="ListParagraph"/>
        <w:numPr>
          <w:ilvl w:val="0"/>
          <w:numId w:val="1"/>
        </w:numPr>
        <w:rPr>
          <w:lang w:val="en-GB"/>
        </w:rPr>
      </w:pPr>
      <w:r w:rsidRPr="003D1553">
        <w:rPr>
          <w:lang w:val="en-GB"/>
        </w:rPr>
        <w:t>Simulate a variable packet length</w:t>
      </w:r>
    </w:p>
    <w:p w:rsidR="00476FDF" w:rsidRPr="003D1553" w:rsidRDefault="00476FDF" w:rsidP="00167470">
      <w:pPr>
        <w:pStyle w:val="ListParagraph"/>
        <w:numPr>
          <w:ilvl w:val="0"/>
          <w:numId w:val="1"/>
        </w:numPr>
        <w:rPr>
          <w:lang w:val="en-GB"/>
        </w:rPr>
      </w:pPr>
      <w:r w:rsidRPr="003D1553">
        <w:rPr>
          <w:lang w:val="en-GB"/>
        </w:rPr>
        <w:t>Simulate an LBT between the interfering transmitters</w:t>
      </w:r>
    </w:p>
    <w:p w:rsidR="00476FDF" w:rsidRPr="003D1553" w:rsidRDefault="00476FDF" w:rsidP="00167470">
      <w:pPr>
        <w:pStyle w:val="ListParagraph"/>
        <w:numPr>
          <w:ilvl w:val="0"/>
          <w:numId w:val="1"/>
        </w:numPr>
        <w:rPr>
          <w:lang w:val="en-GB"/>
        </w:rPr>
      </w:pPr>
      <w:r w:rsidRPr="003D1553">
        <w:rPr>
          <w:lang w:val="en-GB"/>
        </w:rPr>
        <w:t xml:space="preserve">Simulate </w:t>
      </w:r>
      <w:r>
        <w:rPr>
          <w:lang w:val="en-GB"/>
        </w:rPr>
        <w:t>a sensing</w:t>
      </w:r>
      <w:r w:rsidRPr="003D1553">
        <w:rPr>
          <w:lang w:val="en-GB"/>
        </w:rPr>
        <w:t xml:space="preserve"> between each interfering transmitter and the transmitter of the victim link</w:t>
      </w:r>
    </w:p>
    <w:p w:rsidR="00476FDF" w:rsidRPr="003D1553" w:rsidRDefault="00476FDF" w:rsidP="00167470">
      <w:pPr>
        <w:pStyle w:val="ListParagraph"/>
        <w:numPr>
          <w:ilvl w:val="0"/>
          <w:numId w:val="1"/>
        </w:numPr>
        <w:rPr>
          <w:lang w:val="en-GB"/>
        </w:rPr>
      </w:pPr>
      <w:r w:rsidRPr="003D1553">
        <w:rPr>
          <w:lang w:val="en-GB"/>
        </w:rPr>
        <w:t>Export some information abou</w:t>
      </w:r>
      <w:r>
        <w:rPr>
          <w:lang w:val="en-GB"/>
        </w:rPr>
        <w:t>t the simulation as an XML file</w:t>
      </w:r>
      <w:r w:rsidRPr="003D1553">
        <w:rPr>
          <w:lang w:val="en-GB"/>
        </w:rPr>
        <w:br/>
      </w:r>
      <w:r w:rsidRPr="00532F2E">
        <w:rPr>
          <w:i/>
          <w:lang w:val="en-GB"/>
        </w:rPr>
        <w:t xml:space="preserve">the corresponding XSD schema </w:t>
      </w:r>
      <w:r>
        <w:rPr>
          <w:i/>
          <w:lang w:val="en-GB"/>
        </w:rPr>
        <w:t xml:space="preserve">(simulateLBT.xsd) </w:t>
      </w:r>
      <w:r w:rsidRPr="00532F2E">
        <w:rPr>
          <w:i/>
          <w:lang w:val="en-GB"/>
        </w:rPr>
        <w:t>is separately available through the files attached</w:t>
      </w:r>
    </w:p>
    <w:p w:rsidR="00476FDF" w:rsidRPr="003D1553" w:rsidRDefault="00476FDF" w:rsidP="00167470">
      <w:pPr>
        <w:rPr>
          <w:lang w:val="en-GB"/>
        </w:rPr>
      </w:pPr>
    </w:p>
    <w:p w:rsidR="00476FDF" w:rsidRPr="003D1553" w:rsidRDefault="00476FDF" w:rsidP="00381570">
      <w:pPr>
        <w:jc w:val="center"/>
        <w:rPr>
          <w:lang w:val="en-GB"/>
        </w:rPr>
      </w:pPr>
      <w:r w:rsidRPr="003F7582">
        <w:rPr>
          <w:noProof/>
          <w:lang w:eastAsia="de-DE"/>
        </w:rPr>
        <w:pict>
          <v:shape id="Bild 1" o:spid="_x0000_i1028" type="#_x0000_t75" style="width:451.5pt;height:322.5pt;visibility:visible">
            <v:imagedata r:id="rId15" o:title=""/>
          </v:shape>
        </w:pict>
      </w:r>
    </w:p>
    <w:p w:rsidR="00476FDF" w:rsidRPr="003D1553" w:rsidRDefault="00476FDF" w:rsidP="00381570">
      <w:pPr>
        <w:jc w:val="center"/>
        <w:rPr>
          <w:lang w:val="en-GB"/>
        </w:rPr>
      </w:pPr>
      <w:r w:rsidRPr="003D1553">
        <w:rPr>
          <w:lang w:val="en-GB"/>
        </w:rPr>
        <w:t>Figure 1: Configuration panel of the plugin</w:t>
      </w:r>
      <w:r>
        <w:rPr>
          <w:lang w:val="en-GB"/>
        </w:rPr>
        <w:t xml:space="preserve"> </w:t>
      </w:r>
      <w:r>
        <w:rPr>
          <w:rStyle w:val="FootnoteReference"/>
          <w:lang w:val="en-GB"/>
        </w:rPr>
        <w:footnoteReference w:id="2"/>
      </w:r>
    </w:p>
    <w:p w:rsidR="00476FDF" w:rsidRPr="003D1553" w:rsidRDefault="00476FDF" w:rsidP="00167470">
      <w:pPr>
        <w:rPr>
          <w:lang w:val="en-GB"/>
        </w:rPr>
      </w:pPr>
    </w:p>
    <w:p w:rsidR="00476FDF" w:rsidRPr="003D1553" w:rsidRDefault="00476FDF" w:rsidP="00167470">
      <w:pPr>
        <w:rPr>
          <w:lang w:val="en-GB"/>
        </w:rPr>
      </w:pPr>
    </w:p>
    <w:p w:rsidR="00476FDF" w:rsidRDefault="00476FDF" w:rsidP="00167470">
      <w:pPr>
        <w:rPr>
          <w:lang w:val="en-GB"/>
        </w:rPr>
      </w:pPr>
      <w:r>
        <w:rPr>
          <w:lang w:val="en-GB"/>
        </w:rPr>
        <w:t>The main concept of simulating the time domain with this plugin is as follows:</w:t>
      </w:r>
    </w:p>
    <w:p w:rsidR="00476FDF" w:rsidRDefault="00476FDF" w:rsidP="00167470">
      <w:pPr>
        <w:rPr>
          <w:lang w:val="en-GB"/>
        </w:rPr>
      </w:pPr>
    </w:p>
    <w:p w:rsidR="00476FDF" w:rsidRDefault="00476FDF" w:rsidP="00167470">
      <w:pPr>
        <w:rPr>
          <w:lang w:val="en-GB"/>
        </w:rPr>
      </w:pPr>
    </w:p>
    <w:p w:rsidR="00476FDF" w:rsidRDefault="00476FDF" w:rsidP="00941DFB">
      <w:pPr>
        <w:jc w:val="center"/>
        <w:rPr>
          <w:lang w:val="en-GB"/>
        </w:rPr>
      </w:pPr>
      <w:r w:rsidRPr="003F7582">
        <w:rPr>
          <w:noProof/>
          <w:lang w:eastAsia="de-DE"/>
        </w:rPr>
        <w:pict>
          <v:shape id="Bild 2" o:spid="_x0000_i1029" type="#_x0000_t75" style="width:351pt;height:156pt;visibility:visible">
            <v:imagedata r:id="rId16" o:title=""/>
          </v:shape>
        </w:pict>
      </w:r>
    </w:p>
    <w:p w:rsidR="00476FDF" w:rsidRDefault="00476FDF" w:rsidP="00941DFB">
      <w:pPr>
        <w:jc w:val="center"/>
        <w:rPr>
          <w:lang w:val="en-GB"/>
        </w:rPr>
      </w:pPr>
      <w:r>
        <w:rPr>
          <w:lang w:val="en-GB"/>
        </w:rPr>
        <w:t xml:space="preserve">Figure </w:t>
      </w:r>
      <w:smartTag w:uri="urn:schemas-microsoft-com:office:smarttags" w:element="PersonName">
        <w:r>
          <w:rPr>
            <w:lang w:val="en-GB"/>
          </w:rPr>
          <w:t>2</w:t>
        </w:r>
      </w:smartTag>
      <w:r>
        <w:rPr>
          <w:lang w:val="en-GB"/>
        </w:rPr>
        <w:t xml:space="preserve">: principle of distributing packets randomly </w:t>
      </w:r>
      <w:r>
        <w:rPr>
          <w:rStyle w:val="FootnoteReference"/>
          <w:lang w:val="en-GB"/>
        </w:rPr>
        <w:footnoteReference w:id="3"/>
      </w:r>
      <w:r>
        <w:rPr>
          <w:lang w:val="en-GB"/>
        </w:rPr>
        <w:t xml:space="preserve"> </w:t>
      </w:r>
      <w:r>
        <w:rPr>
          <w:rStyle w:val="FootnoteReference"/>
          <w:lang w:val="en-GB"/>
        </w:rPr>
        <w:footnoteReference w:id="4"/>
      </w:r>
      <w:r>
        <w:rPr>
          <w:lang w:val="en-GB"/>
        </w:rPr>
        <w:br/>
      </w:r>
    </w:p>
    <w:p w:rsidR="00476FDF" w:rsidRDefault="00476FDF" w:rsidP="00167470">
      <w:pPr>
        <w:rPr>
          <w:lang w:val="en-GB"/>
        </w:rPr>
      </w:pPr>
    </w:p>
    <w:p w:rsidR="00476FDF" w:rsidRDefault="00476FDF" w:rsidP="0062588A">
      <w:pPr>
        <w:pStyle w:val="Heading4"/>
        <w:rPr>
          <w:lang w:val="en-GB"/>
        </w:rPr>
      </w:pPr>
      <w:r>
        <w:rPr>
          <w:lang w:val="en-GB"/>
        </w:rPr>
        <w:t>Procedure:</w:t>
      </w:r>
    </w:p>
    <w:p w:rsidR="00476FDF" w:rsidRDefault="00476FDF" w:rsidP="00167470">
      <w:pPr>
        <w:rPr>
          <w:lang w:val="en-GB"/>
        </w:rPr>
      </w:pPr>
    </w:p>
    <w:p w:rsidR="00476FDF" w:rsidRDefault="00476FDF" w:rsidP="00E36740">
      <w:pPr>
        <w:pStyle w:val="ListParagraph"/>
        <w:numPr>
          <w:ilvl w:val="0"/>
          <w:numId w:val="2"/>
        </w:numPr>
        <w:rPr>
          <w:lang w:val="en-GB"/>
        </w:rPr>
      </w:pPr>
      <w:r w:rsidRPr="00C16529">
        <w:rPr>
          <w:b/>
          <w:lang w:val="en-GB"/>
        </w:rPr>
        <w:t>Collect data of the interfering transmitter</w:t>
      </w:r>
      <w:r>
        <w:rPr>
          <w:lang w:val="en-GB"/>
        </w:rPr>
        <w:br/>
        <w:t xml:space="preserve">the information about each interfering transmitter (available through the plugin interface) is copied as an object “LBTcompontent” onto </w:t>
      </w:r>
      <w:r w:rsidRPr="00C55E63">
        <w:rPr>
          <w:rFonts w:cs="Arial"/>
          <w:lang w:val="en-GB"/>
        </w:rPr>
        <w:t>the list “</w:t>
      </w:r>
      <w:r w:rsidRPr="00C55E63">
        <w:rPr>
          <w:rFonts w:cs="Arial"/>
          <w:sz w:val="20"/>
          <w:szCs w:val="20"/>
          <w:lang w:val="en-US"/>
        </w:rPr>
        <w:t>simulatedTX</w:t>
      </w:r>
      <w:r w:rsidRPr="00C55E63">
        <w:rPr>
          <w:rFonts w:cs="Arial"/>
          <w:lang w:val="en-GB"/>
        </w:rPr>
        <w:t>” by</w:t>
      </w:r>
      <w:r w:rsidRPr="00C55E63">
        <w:rPr>
          <w:lang w:val="en-GB"/>
        </w:rPr>
        <w:t xml:space="preserve"> setting</w:t>
      </w:r>
      <w:r>
        <w:rPr>
          <w:lang w:val="en-GB"/>
        </w:rPr>
        <w:t xml:space="preserve"> at the same time the transmitter to “inactive” and assigning a random time within the interval time at which the transmission of the packet starts as well as the corresponding time the transmission of the packet stops.</w:t>
      </w:r>
      <w:r>
        <w:rPr>
          <w:lang w:val="en-GB"/>
        </w:rPr>
        <w:br/>
      </w:r>
    </w:p>
    <w:p w:rsidR="00476FDF" w:rsidRPr="00421E32" w:rsidRDefault="00476FDF" w:rsidP="00E36740">
      <w:pPr>
        <w:pStyle w:val="ListParagraph"/>
        <w:numPr>
          <w:ilvl w:val="0"/>
          <w:numId w:val="2"/>
        </w:numPr>
        <w:rPr>
          <w:szCs w:val="22"/>
          <w:lang w:val="en-GB"/>
        </w:rPr>
      </w:pPr>
      <w:r w:rsidRPr="00C16529">
        <w:rPr>
          <w:b/>
          <w:szCs w:val="22"/>
          <w:lang w:val="en-GB"/>
        </w:rPr>
        <w:t xml:space="preserve">Perform </w:t>
      </w:r>
      <w:r>
        <w:rPr>
          <w:b/>
          <w:szCs w:val="22"/>
          <w:lang w:val="en-GB"/>
        </w:rPr>
        <w:t>“</w:t>
      </w:r>
      <w:r w:rsidRPr="00C16529">
        <w:rPr>
          <w:b/>
          <w:szCs w:val="22"/>
          <w:lang w:val="en-GB"/>
        </w:rPr>
        <w:t>duty cycle</w:t>
      </w:r>
      <w:r>
        <w:rPr>
          <w:b/>
          <w:szCs w:val="22"/>
          <w:lang w:val="en-GB"/>
        </w:rPr>
        <w:t>”</w:t>
      </w:r>
      <w:r>
        <w:rPr>
          <w:szCs w:val="22"/>
          <w:lang w:val="en-GB"/>
        </w:rPr>
        <w:br/>
      </w:r>
      <w:r w:rsidRPr="00C55E63">
        <w:rPr>
          <w:szCs w:val="22"/>
          <w:lang w:val="en-GB"/>
        </w:rPr>
        <w:t xml:space="preserve">The plugin defines a random time “slot” within the interval time and looks at each LBTcompontent whether at </w:t>
      </w:r>
      <w:r>
        <w:rPr>
          <w:szCs w:val="22"/>
          <w:lang w:val="en-GB"/>
        </w:rPr>
        <w:t xml:space="preserve">that </w:t>
      </w:r>
      <w:r w:rsidRPr="00C55E63">
        <w:rPr>
          <w:szCs w:val="22"/>
          <w:lang w:val="en-GB"/>
        </w:rPr>
        <w:t xml:space="preserve">time </w:t>
      </w:r>
      <w:r>
        <w:rPr>
          <w:szCs w:val="22"/>
          <w:lang w:val="en-GB"/>
        </w:rPr>
        <w:t>its</w:t>
      </w:r>
      <w:r w:rsidRPr="00C55E63">
        <w:rPr>
          <w:szCs w:val="22"/>
          <w:lang w:val="en-GB"/>
        </w:rPr>
        <w:t xml:space="preserve"> packet is in transmission mode. If so, this LBTcompontent is set to “active” and copied onto the list “</w:t>
      </w:r>
      <w:r w:rsidRPr="00C55E63">
        <w:rPr>
          <w:rFonts w:cs="Arial"/>
          <w:szCs w:val="22"/>
          <w:lang w:val="en-US"/>
        </w:rPr>
        <w:t>simulatedTXcollision</w:t>
      </w:r>
      <w:r w:rsidRPr="00C55E63">
        <w:rPr>
          <w:szCs w:val="22"/>
          <w:lang w:val="en-GB"/>
        </w:rPr>
        <w:t>”</w:t>
      </w:r>
      <w:r>
        <w:rPr>
          <w:szCs w:val="22"/>
          <w:lang w:val="en-GB"/>
        </w:rPr>
        <w:t>.</w:t>
      </w:r>
      <w:r>
        <w:rPr>
          <w:szCs w:val="22"/>
          <w:lang w:val="en-GB"/>
        </w:rPr>
        <w:br/>
      </w:r>
      <w:r>
        <w:rPr>
          <w:szCs w:val="22"/>
          <w:lang w:val="en-GB"/>
        </w:rPr>
        <w:br/>
      </w:r>
      <w:r w:rsidRPr="00C16529">
        <w:rPr>
          <w:b/>
          <w:i/>
          <w:szCs w:val="22"/>
          <w:lang w:val="en-GB"/>
        </w:rPr>
        <w:t>Option 1: simulate LBT between the interfering transmitters:</w:t>
      </w:r>
      <w:r>
        <w:rPr>
          <w:szCs w:val="22"/>
          <w:lang w:val="en-GB"/>
        </w:rPr>
        <w:br/>
        <w:t xml:space="preserve">For all transmitters on the </w:t>
      </w:r>
      <w:r w:rsidRPr="00C55E63">
        <w:rPr>
          <w:szCs w:val="22"/>
          <w:lang w:val="en-GB"/>
        </w:rPr>
        <w:t>list “</w:t>
      </w:r>
      <w:r w:rsidRPr="00C55E63">
        <w:rPr>
          <w:rFonts w:cs="Arial"/>
          <w:szCs w:val="22"/>
          <w:lang w:val="en-US"/>
        </w:rPr>
        <w:t>simulatedTXcollision</w:t>
      </w:r>
      <w:r w:rsidRPr="00C55E63">
        <w:rPr>
          <w:szCs w:val="22"/>
          <w:lang w:val="en-GB"/>
        </w:rPr>
        <w:t>”</w:t>
      </w:r>
      <w:r>
        <w:rPr>
          <w:szCs w:val="22"/>
          <w:lang w:val="en-GB"/>
        </w:rPr>
        <w:t xml:space="preserve"> an LBT procedure is performed (TX</w:t>
      </w:r>
      <w:r w:rsidRPr="00C55E63">
        <w:rPr>
          <w:szCs w:val="22"/>
          <w:vertAlign w:val="subscript"/>
          <w:lang w:val="en-GB"/>
        </w:rPr>
        <w:t>1</w:t>
      </w:r>
      <w:r>
        <w:rPr>
          <w:szCs w:val="22"/>
          <w:lang w:val="en-GB"/>
        </w:rPr>
        <w:t xml:space="preserve"> vs, TX</w:t>
      </w:r>
      <w:smartTag w:uri="urn:schemas-microsoft-com:office:smarttags" w:element="PersonName">
        <w:r w:rsidRPr="00C55E63">
          <w:rPr>
            <w:szCs w:val="22"/>
            <w:vertAlign w:val="subscript"/>
            <w:lang w:val="en-GB"/>
          </w:rPr>
          <w:t>2</w:t>
        </w:r>
      </w:smartTag>
      <w:r>
        <w:rPr>
          <w:szCs w:val="22"/>
          <w:lang w:val="en-GB"/>
        </w:rPr>
        <w:t>, TX</w:t>
      </w:r>
      <w:r w:rsidRPr="00C55E63">
        <w:rPr>
          <w:szCs w:val="22"/>
          <w:vertAlign w:val="subscript"/>
          <w:lang w:val="en-GB"/>
        </w:rPr>
        <w:t>3</w:t>
      </w:r>
      <w:r>
        <w:rPr>
          <w:szCs w:val="22"/>
          <w:lang w:val="en-GB"/>
        </w:rPr>
        <w:t xml:space="preserve"> … TX</w:t>
      </w:r>
      <w:r w:rsidRPr="00C55E63">
        <w:rPr>
          <w:szCs w:val="22"/>
          <w:vertAlign w:val="subscript"/>
          <w:lang w:val="en-GB"/>
        </w:rPr>
        <w:t>n</w:t>
      </w:r>
      <w:r>
        <w:rPr>
          <w:szCs w:val="22"/>
          <w:lang w:val="en-GB"/>
        </w:rPr>
        <w:t>; TX</w:t>
      </w:r>
      <w:smartTag w:uri="urn:schemas-microsoft-com:office:smarttags" w:element="PersonName">
        <w:r w:rsidRPr="00C55E63">
          <w:rPr>
            <w:szCs w:val="22"/>
            <w:vertAlign w:val="subscript"/>
            <w:lang w:val="en-GB"/>
          </w:rPr>
          <w:t>2</w:t>
        </w:r>
      </w:smartTag>
      <w:r>
        <w:rPr>
          <w:szCs w:val="22"/>
          <w:vertAlign w:val="subscript"/>
          <w:lang w:val="en-GB"/>
        </w:rPr>
        <w:t xml:space="preserve"> vs. </w:t>
      </w:r>
      <w:r>
        <w:rPr>
          <w:szCs w:val="22"/>
          <w:lang w:val="en-GB"/>
        </w:rPr>
        <w:t>TX</w:t>
      </w:r>
      <w:r>
        <w:rPr>
          <w:szCs w:val="22"/>
          <w:vertAlign w:val="subscript"/>
          <w:lang w:val="en-GB"/>
        </w:rPr>
        <w:t>3,</w:t>
      </w:r>
      <w:r w:rsidRPr="00421E32">
        <w:rPr>
          <w:szCs w:val="22"/>
          <w:lang w:val="en-GB"/>
        </w:rPr>
        <w:t xml:space="preserve"> </w:t>
      </w:r>
      <w:r>
        <w:rPr>
          <w:szCs w:val="22"/>
          <w:lang w:val="en-GB"/>
        </w:rPr>
        <w:t>TX</w:t>
      </w:r>
      <w:r>
        <w:rPr>
          <w:szCs w:val="22"/>
          <w:vertAlign w:val="subscript"/>
          <w:lang w:val="en-GB"/>
        </w:rPr>
        <w:t xml:space="preserve">4  </w:t>
      </w:r>
      <w:r>
        <w:rPr>
          <w:szCs w:val="22"/>
          <w:lang w:val="en-GB"/>
        </w:rPr>
        <w:t>… TX</w:t>
      </w:r>
      <w:r w:rsidRPr="00C55E63">
        <w:rPr>
          <w:szCs w:val="22"/>
          <w:vertAlign w:val="subscript"/>
          <w:lang w:val="en-GB"/>
        </w:rPr>
        <w:t>n</w:t>
      </w:r>
      <w:r>
        <w:rPr>
          <w:szCs w:val="22"/>
          <w:vertAlign w:val="subscript"/>
          <w:lang w:val="en-GB"/>
        </w:rPr>
        <w:t xml:space="preserve"> </w:t>
      </w:r>
      <w:r w:rsidRPr="00421E32">
        <w:rPr>
          <w:szCs w:val="22"/>
          <w:lang w:val="en-GB"/>
        </w:rPr>
        <w:t>and so on</w:t>
      </w:r>
      <w:r>
        <w:rPr>
          <w:szCs w:val="22"/>
          <w:lang w:val="en-GB"/>
        </w:rPr>
        <w:t xml:space="preserve">) by checking whether the power received exceeds the threshold. If the limit is exceeded, this transmitter is set to “inactive”, labelled as “dropped due to LBTilt” and copied onto the </w:t>
      </w:r>
      <w:r w:rsidRPr="00C55E63">
        <w:rPr>
          <w:szCs w:val="22"/>
          <w:lang w:val="en-GB"/>
        </w:rPr>
        <w:t>list “</w:t>
      </w:r>
      <w:r w:rsidRPr="00C55E63">
        <w:rPr>
          <w:rFonts w:cs="Arial"/>
          <w:szCs w:val="22"/>
          <w:lang w:val="en-US"/>
        </w:rPr>
        <w:t>simulatedTX</w:t>
      </w:r>
      <w:r>
        <w:rPr>
          <w:rFonts w:cs="Arial"/>
          <w:szCs w:val="22"/>
          <w:lang w:val="en-US"/>
        </w:rPr>
        <w:t>dropped</w:t>
      </w:r>
      <w:r w:rsidRPr="00C55E63">
        <w:rPr>
          <w:szCs w:val="22"/>
          <w:lang w:val="en-GB"/>
        </w:rPr>
        <w:t>”</w:t>
      </w:r>
      <w:r>
        <w:rPr>
          <w:szCs w:val="22"/>
          <w:lang w:val="en-GB"/>
        </w:rPr>
        <w:t xml:space="preserve"> and then removed from the </w:t>
      </w:r>
      <w:r w:rsidRPr="00C55E63">
        <w:rPr>
          <w:szCs w:val="22"/>
          <w:lang w:val="en-GB"/>
        </w:rPr>
        <w:t>list “</w:t>
      </w:r>
      <w:r w:rsidRPr="00C55E63">
        <w:rPr>
          <w:rFonts w:cs="Arial"/>
          <w:szCs w:val="22"/>
          <w:lang w:val="en-US"/>
        </w:rPr>
        <w:t>simulatedTXcollision</w:t>
      </w:r>
      <w:r w:rsidRPr="00C55E63">
        <w:rPr>
          <w:szCs w:val="22"/>
          <w:lang w:val="en-GB"/>
        </w:rPr>
        <w:t>”</w:t>
      </w:r>
      <w:r>
        <w:rPr>
          <w:szCs w:val="22"/>
          <w:lang w:val="en-GB"/>
        </w:rPr>
        <w:t>, otherwise it remains “active”.</w:t>
      </w:r>
      <w:r>
        <w:rPr>
          <w:szCs w:val="22"/>
          <w:lang w:val="en-GB"/>
        </w:rPr>
        <w:br/>
      </w:r>
      <w:r>
        <w:rPr>
          <w:szCs w:val="22"/>
          <w:lang w:val="en-GB"/>
        </w:rPr>
        <w:br/>
      </w:r>
      <w:r w:rsidRPr="00C16529">
        <w:rPr>
          <w:b/>
          <w:i/>
          <w:szCs w:val="22"/>
          <w:lang w:val="en-GB"/>
        </w:rPr>
        <w:t xml:space="preserve">Option </w:t>
      </w:r>
      <w:smartTag w:uri="urn:schemas-microsoft-com:office:smarttags" w:element="PersonName">
        <w:r w:rsidRPr="00C16529">
          <w:rPr>
            <w:b/>
            <w:i/>
            <w:szCs w:val="22"/>
            <w:lang w:val="en-GB"/>
          </w:rPr>
          <w:t>2</w:t>
        </w:r>
      </w:smartTag>
      <w:r w:rsidRPr="00C16529">
        <w:rPr>
          <w:b/>
          <w:i/>
          <w:szCs w:val="22"/>
          <w:lang w:val="en-GB"/>
        </w:rPr>
        <w:t>: simulate sensing of the ILT (transmitter of the victim link):</w:t>
      </w:r>
      <w:r>
        <w:rPr>
          <w:i/>
          <w:szCs w:val="22"/>
          <w:lang w:val="en-GB"/>
        </w:rPr>
        <w:br/>
      </w:r>
      <w:r>
        <w:rPr>
          <w:szCs w:val="22"/>
          <w:lang w:val="en-GB"/>
        </w:rPr>
        <w:t xml:space="preserve">For each transmitter on the </w:t>
      </w:r>
      <w:r w:rsidRPr="00C55E63">
        <w:rPr>
          <w:szCs w:val="22"/>
          <w:lang w:val="en-GB"/>
        </w:rPr>
        <w:t>list “</w:t>
      </w:r>
      <w:r w:rsidRPr="00C55E63">
        <w:rPr>
          <w:rFonts w:cs="Arial"/>
          <w:szCs w:val="22"/>
          <w:lang w:val="en-US"/>
        </w:rPr>
        <w:t>simulatedTXcollision</w:t>
      </w:r>
      <w:r w:rsidRPr="00C55E63">
        <w:rPr>
          <w:szCs w:val="22"/>
          <w:lang w:val="en-GB"/>
        </w:rPr>
        <w:t>”</w:t>
      </w:r>
      <w:r>
        <w:rPr>
          <w:szCs w:val="22"/>
          <w:lang w:val="en-GB"/>
        </w:rPr>
        <w:t xml:space="preserve"> a sensing of the VLT is performed. In case the received power exceeds a limit (different from the ILT), this transmitter is set to “inactive”, labelled as “dropped due to LBTvlt” and copied onto the </w:t>
      </w:r>
      <w:r w:rsidRPr="00C55E63">
        <w:rPr>
          <w:szCs w:val="22"/>
          <w:lang w:val="en-GB"/>
        </w:rPr>
        <w:t>list “</w:t>
      </w:r>
      <w:r w:rsidRPr="00C55E63">
        <w:rPr>
          <w:rFonts w:cs="Arial"/>
          <w:szCs w:val="22"/>
          <w:lang w:val="en-US"/>
        </w:rPr>
        <w:t>simulatedTX</w:t>
      </w:r>
      <w:r>
        <w:rPr>
          <w:rFonts w:cs="Arial"/>
          <w:szCs w:val="22"/>
          <w:lang w:val="en-US"/>
        </w:rPr>
        <w:t>dropped</w:t>
      </w:r>
      <w:r w:rsidRPr="00C55E63">
        <w:rPr>
          <w:szCs w:val="22"/>
          <w:lang w:val="en-GB"/>
        </w:rPr>
        <w:t>”</w:t>
      </w:r>
      <w:r>
        <w:rPr>
          <w:szCs w:val="22"/>
          <w:lang w:val="en-GB"/>
        </w:rPr>
        <w:t xml:space="preserve"> and then removed from the </w:t>
      </w:r>
      <w:r w:rsidRPr="00C55E63">
        <w:rPr>
          <w:szCs w:val="22"/>
          <w:lang w:val="en-GB"/>
        </w:rPr>
        <w:t>list “</w:t>
      </w:r>
      <w:r w:rsidRPr="00C55E63">
        <w:rPr>
          <w:rFonts w:cs="Arial"/>
          <w:szCs w:val="22"/>
          <w:lang w:val="en-US"/>
        </w:rPr>
        <w:t>simulatedTXcollision</w:t>
      </w:r>
      <w:r w:rsidRPr="00C55E63">
        <w:rPr>
          <w:szCs w:val="22"/>
          <w:lang w:val="en-GB"/>
        </w:rPr>
        <w:t>”</w:t>
      </w:r>
      <w:r>
        <w:rPr>
          <w:szCs w:val="22"/>
          <w:lang w:val="en-GB"/>
        </w:rPr>
        <w:t>, otherwise it remains “active”.</w:t>
      </w:r>
      <w:r w:rsidRPr="00421E32">
        <w:rPr>
          <w:szCs w:val="22"/>
          <w:lang w:val="en-GB"/>
        </w:rPr>
        <w:br/>
      </w:r>
    </w:p>
    <w:p w:rsidR="00476FDF" w:rsidRDefault="00476FDF" w:rsidP="00E36740">
      <w:pPr>
        <w:pStyle w:val="ListParagraph"/>
        <w:numPr>
          <w:ilvl w:val="0"/>
          <w:numId w:val="2"/>
        </w:numPr>
        <w:rPr>
          <w:szCs w:val="22"/>
          <w:lang w:val="en-GB"/>
        </w:rPr>
      </w:pPr>
      <w:r w:rsidRPr="003017BA">
        <w:rPr>
          <w:b/>
          <w:szCs w:val="22"/>
          <w:lang w:val="en-GB"/>
        </w:rPr>
        <w:t>Consider the transmitters set to inactive</w:t>
      </w:r>
      <w:r>
        <w:rPr>
          <w:b/>
          <w:szCs w:val="22"/>
          <w:lang w:val="en-GB"/>
        </w:rPr>
        <w:t xml:space="preserve"> </w:t>
      </w:r>
      <w:r w:rsidRPr="00C55E63">
        <w:rPr>
          <w:szCs w:val="22"/>
          <w:lang w:val="en-GB"/>
        </w:rPr>
        <w:t xml:space="preserve"> </w:t>
      </w:r>
      <w:r>
        <w:rPr>
          <w:szCs w:val="22"/>
          <w:lang w:val="en-GB"/>
        </w:rPr>
        <w:br/>
        <w:t xml:space="preserve">The plugin checks which of the transmitters are inactive and decreases the corresponding interfering power (iRSS) by </w:t>
      </w:r>
      <w:smartTag w:uri="urn:schemas-microsoft-com:office:smarttags" w:element="PersonName">
        <w:r>
          <w:rPr>
            <w:szCs w:val="22"/>
            <w:lang w:val="en-GB"/>
          </w:rPr>
          <w:t>2</w:t>
        </w:r>
      </w:smartTag>
      <w:r>
        <w:rPr>
          <w:szCs w:val="22"/>
          <w:lang w:val="en-GB"/>
        </w:rPr>
        <w:t xml:space="preserve">00 dB, i.e. it “switches it off” and updates the resulting iRSS for this snapshot accordingly. </w:t>
      </w:r>
      <w:r>
        <w:rPr>
          <w:szCs w:val="22"/>
          <w:lang w:val="en-GB"/>
        </w:rPr>
        <w:br/>
      </w:r>
    </w:p>
    <w:p w:rsidR="00476FDF" w:rsidRDefault="00476FDF" w:rsidP="00E36740">
      <w:pPr>
        <w:pStyle w:val="ListParagraph"/>
        <w:numPr>
          <w:ilvl w:val="0"/>
          <w:numId w:val="2"/>
        </w:numPr>
        <w:rPr>
          <w:szCs w:val="22"/>
          <w:lang w:val="en-GB"/>
        </w:rPr>
      </w:pPr>
      <w:r w:rsidRPr="002D7ED7">
        <w:rPr>
          <w:b/>
          <w:szCs w:val="22"/>
          <w:lang w:val="en-GB"/>
        </w:rPr>
        <w:t>Export information about the simulation (optional)</w:t>
      </w:r>
      <w:r w:rsidRPr="002D7ED7">
        <w:rPr>
          <w:b/>
          <w:szCs w:val="22"/>
          <w:lang w:val="en-GB"/>
        </w:rPr>
        <w:br/>
      </w:r>
      <w:r w:rsidRPr="002D7ED7">
        <w:rPr>
          <w:szCs w:val="22"/>
          <w:lang w:val="en-GB"/>
        </w:rPr>
        <w:t>An XML file is generated containing this information:</w:t>
      </w:r>
      <w:r w:rsidRPr="002D7ED7">
        <w:rPr>
          <w:szCs w:val="22"/>
          <w:lang w:val="en-GB"/>
        </w:rPr>
        <w:br/>
      </w:r>
      <w:r w:rsidRPr="009D2D69">
        <w:rPr>
          <w:noProof/>
          <w:szCs w:val="22"/>
          <w:lang w:eastAsia="de-DE"/>
        </w:rPr>
        <w:pict>
          <v:shape id="Bild 5" o:spid="_x0000_i1030" type="#_x0000_t75" style="width:225pt;height:205.5pt;visibility:visible">
            <v:imagedata r:id="rId17" o:title=""/>
          </v:shape>
        </w:pict>
      </w:r>
      <w:r w:rsidRPr="002D7ED7">
        <w:rPr>
          <w:szCs w:val="22"/>
          <w:lang w:val="en-GB"/>
        </w:rPr>
        <w:br/>
        <w:t xml:space="preserve">the XML file could </w:t>
      </w:r>
      <w:r>
        <w:rPr>
          <w:szCs w:val="22"/>
          <w:lang w:val="en-GB"/>
        </w:rPr>
        <w:t xml:space="preserve">be </w:t>
      </w:r>
      <w:r w:rsidRPr="002D7ED7">
        <w:rPr>
          <w:szCs w:val="22"/>
          <w:lang w:val="en-GB"/>
        </w:rPr>
        <w:t>import</w:t>
      </w:r>
      <w:r>
        <w:rPr>
          <w:szCs w:val="22"/>
          <w:lang w:val="en-GB"/>
        </w:rPr>
        <w:t>ed i</w:t>
      </w:r>
      <w:r w:rsidRPr="002D7ED7">
        <w:rPr>
          <w:szCs w:val="22"/>
          <w:lang w:val="en-GB"/>
        </w:rPr>
        <w:t>nto e.g. Microsoft Excel for post simulation analysis like this one:</w:t>
      </w:r>
      <w:r>
        <w:rPr>
          <w:szCs w:val="22"/>
          <w:lang w:val="en-GB"/>
        </w:rPr>
        <w:br/>
      </w:r>
      <w:r w:rsidRPr="009D2D69">
        <w:rPr>
          <w:noProof/>
          <w:szCs w:val="22"/>
          <w:lang w:eastAsia="de-DE"/>
        </w:rPr>
        <w:pict>
          <v:shape id="Bild 6" o:spid="_x0000_i1031" type="#_x0000_t75" style="width:225.75pt;height:140.25pt;visibility:visible">
            <v:imagedata r:id="rId18" o:title=""/>
          </v:shape>
        </w:pict>
      </w:r>
      <w:r w:rsidRPr="002D7ED7">
        <w:rPr>
          <w:szCs w:val="22"/>
          <w:lang w:val="en-GB"/>
        </w:rPr>
        <w:br/>
      </w:r>
    </w:p>
    <w:p w:rsidR="00476FDF" w:rsidRDefault="00476FDF" w:rsidP="00C2533C">
      <w:pPr>
        <w:rPr>
          <w:szCs w:val="22"/>
          <w:lang w:val="en-GB"/>
        </w:rPr>
      </w:pPr>
      <w:r>
        <w:rPr>
          <w:szCs w:val="22"/>
          <w:lang w:val="en-GB"/>
        </w:rPr>
        <w:t>Changes to version 3a:</w:t>
      </w:r>
    </w:p>
    <w:p w:rsidR="00476FDF" w:rsidRDefault="00476FDF" w:rsidP="00C2533C">
      <w:pPr>
        <w:rPr>
          <w:szCs w:val="22"/>
          <w:lang w:val="en-GB"/>
        </w:rPr>
      </w:pPr>
      <w:r w:rsidRPr="009D2D69">
        <w:rPr>
          <w:noProof/>
          <w:szCs w:val="22"/>
          <w:lang w:eastAsia="de-DE"/>
        </w:rPr>
        <w:pict>
          <v:shape id="_x0000_i1032" type="#_x0000_t75" style="width:453.75pt;height:240pt;visibility:visible">
            <v:imagedata r:id="rId19" o:title=""/>
          </v:shape>
        </w:pict>
      </w:r>
    </w:p>
    <w:p w:rsidR="00476FDF" w:rsidRPr="00C2533C" w:rsidRDefault="00476FDF" w:rsidP="00C2533C">
      <w:pPr>
        <w:rPr>
          <w:szCs w:val="22"/>
          <w:lang w:val="en-GB"/>
        </w:rPr>
      </w:pPr>
      <w:r w:rsidRPr="009D2D69">
        <w:rPr>
          <w:noProof/>
          <w:szCs w:val="22"/>
          <w:lang w:eastAsia="de-DE"/>
        </w:rPr>
        <w:pict>
          <v:shape id="Bild 4" o:spid="_x0000_i1033" type="#_x0000_t75" style="width:452.25pt;height:326.25pt;visibility:visible">
            <v:imagedata r:id="rId20" o:title=""/>
          </v:shape>
        </w:pict>
      </w:r>
    </w:p>
    <w:sectPr w:rsidR="00476FDF" w:rsidRPr="00C2533C" w:rsidSect="00B3631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FDF" w:rsidRDefault="00476FDF" w:rsidP="00BE0AE7">
      <w:r>
        <w:separator/>
      </w:r>
    </w:p>
  </w:endnote>
  <w:endnote w:type="continuationSeparator" w:id="0">
    <w:p w:rsidR="00476FDF" w:rsidRDefault="00476FDF" w:rsidP="00BE0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FDF" w:rsidRDefault="00476FDF" w:rsidP="00BE0AE7">
      <w:r>
        <w:separator/>
      </w:r>
    </w:p>
  </w:footnote>
  <w:footnote w:type="continuationSeparator" w:id="0">
    <w:p w:rsidR="00476FDF" w:rsidRDefault="00476FDF" w:rsidP="00BE0AE7">
      <w:r>
        <w:continuationSeparator/>
      </w:r>
    </w:p>
  </w:footnote>
  <w:footnote w:id="1">
    <w:p w:rsidR="00476FDF" w:rsidRPr="00B0199F" w:rsidRDefault="00476FDF" w:rsidP="00564C94">
      <w:pPr>
        <w:rPr>
          <w:sz w:val="16"/>
          <w:szCs w:val="16"/>
          <w:lang w:val="en-US"/>
        </w:rPr>
      </w:pPr>
      <w:r w:rsidRPr="00B0199F">
        <w:rPr>
          <w:rStyle w:val="FootnoteReference"/>
          <w:sz w:val="16"/>
          <w:szCs w:val="16"/>
        </w:rPr>
        <w:footnoteRef/>
      </w:r>
      <w:r w:rsidRPr="00B0199F">
        <w:rPr>
          <w:sz w:val="16"/>
          <w:szCs w:val="16"/>
          <w:lang w:val="en-US"/>
        </w:rPr>
        <w:t xml:space="preserve"> Source:</w:t>
      </w:r>
      <w:r w:rsidRPr="00B0199F">
        <w:rPr>
          <w:sz w:val="16"/>
          <w:szCs w:val="16"/>
          <w:lang w:val="en-US"/>
        </w:rPr>
        <w:tab/>
        <w:t>Karl Koch; adhoc@heiseka.de</w:t>
      </w:r>
    </w:p>
    <w:p w:rsidR="00476FDF" w:rsidRDefault="00476FDF" w:rsidP="00564C94"/>
  </w:footnote>
  <w:footnote w:id="2">
    <w:p w:rsidR="00476FDF" w:rsidRDefault="00476FDF">
      <w:pPr>
        <w:pStyle w:val="FootnoteText"/>
      </w:pPr>
      <w:r>
        <w:rPr>
          <w:rStyle w:val="FootnoteReference"/>
        </w:rPr>
        <w:footnoteRef/>
      </w:r>
      <w:r w:rsidRPr="007D43B8">
        <w:rPr>
          <w:lang w:val="en-US"/>
        </w:rPr>
        <w:t xml:space="preserve"> </w:t>
      </w:r>
      <w:r>
        <w:rPr>
          <w:lang w:val="en-US"/>
        </w:rPr>
        <w:t>Note: the parameter “LBT listen time” is not used by this version of the plugin</w:t>
      </w:r>
    </w:p>
  </w:footnote>
  <w:footnote w:id="3">
    <w:p w:rsidR="00476FDF" w:rsidRDefault="00476FDF">
      <w:pPr>
        <w:pStyle w:val="FootnoteText"/>
      </w:pPr>
      <w:r>
        <w:rPr>
          <w:rStyle w:val="FootnoteReference"/>
        </w:rPr>
        <w:footnoteRef/>
      </w:r>
      <w:r w:rsidRPr="00D533E1">
        <w:rPr>
          <w:lang w:val="en-US"/>
        </w:rPr>
        <w:t xml:space="preserve"> </w:t>
      </w:r>
      <w:r>
        <w:rPr>
          <w:lang w:val="en-GB"/>
        </w:rPr>
        <w:t xml:space="preserve">Note: the length of the packet is given as input parameter and defers randomly from each other as a fraction of the input value for the packet length in case “simulate variable packet length” is selected. </w:t>
      </w:r>
      <w:r>
        <w:rPr>
          <w:lang w:val="en-GB"/>
        </w:rPr>
        <w:br/>
        <w:t>The unit [ms] is to be understood as an example and is never considered as such.</w:t>
      </w:r>
    </w:p>
  </w:footnote>
  <w:footnote w:id="4">
    <w:p w:rsidR="00476FDF" w:rsidRDefault="00476FDF">
      <w:pPr>
        <w:pStyle w:val="FootnoteText"/>
      </w:pPr>
      <w:r>
        <w:rPr>
          <w:rStyle w:val="FootnoteReference"/>
        </w:rPr>
        <w:footnoteRef/>
      </w:r>
      <w:r w:rsidRPr="002B4802">
        <w:rPr>
          <w:lang w:val="en-US"/>
        </w:rPr>
        <w:t xml:space="preserve"> Added for version 3a: earliest start and latest stop of all occurrences are recorded.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C4ADB"/>
    <w:multiLevelType w:val="hybridMultilevel"/>
    <w:tmpl w:val="CFE06102"/>
    <w:lvl w:ilvl="0" w:tplc="AFE2FAE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6C52D1"/>
    <w:multiLevelType w:val="hybridMultilevel"/>
    <w:tmpl w:val="BD5E52C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17FD"/>
    <w:rsid w:val="00007B85"/>
    <w:rsid w:val="00067D3E"/>
    <w:rsid w:val="00072804"/>
    <w:rsid w:val="000A3457"/>
    <w:rsid w:val="000A72FD"/>
    <w:rsid w:val="000A79D4"/>
    <w:rsid w:val="000B13DE"/>
    <w:rsid w:val="000B7601"/>
    <w:rsid w:val="001215BF"/>
    <w:rsid w:val="00123089"/>
    <w:rsid w:val="001317D0"/>
    <w:rsid w:val="00167470"/>
    <w:rsid w:val="001A2176"/>
    <w:rsid w:val="00250C70"/>
    <w:rsid w:val="00253095"/>
    <w:rsid w:val="002B4802"/>
    <w:rsid w:val="002D7ED7"/>
    <w:rsid w:val="002F426F"/>
    <w:rsid w:val="003017BA"/>
    <w:rsid w:val="0031616F"/>
    <w:rsid w:val="0032076C"/>
    <w:rsid w:val="00381570"/>
    <w:rsid w:val="003903E4"/>
    <w:rsid w:val="00396AF5"/>
    <w:rsid w:val="003D1553"/>
    <w:rsid w:val="003F07A3"/>
    <w:rsid w:val="003F7582"/>
    <w:rsid w:val="00421E32"/>
    <w:rsid w:val="00421F6B"/>
    <w:rsid w:val="004417FD"/>
    <w:rsid w:val="00476FDF"/>
    <w:rsid w:val="004C7DB4"/>
    <w:rsid w:val="00515672"/>
    <w:rsid w:val="00526827"/>
    <w:rsid w:val="00532F2E"/>
    <w:rsid w:val="005457D5"/>
    <w:rsid w:val="00563BE4"/>
    <w:rsid w:val="00564C94"/>
    <w:rsid w:val="005A4AD8"/>
    <w:rsid w:val="0062588A"/>
    <w:rsid w:val="00667DCE"/>
    <w:rsid w:val="006A3D81"/>
    <w:rsid w:val="006B74C1"/>
    <w:rsid w:val="00707870"/>
    <w:rsid w:val="0073204D"/>
    <w:rsid w:val="00790F31"/>
    <w:rsid w:val="007D43B8"/>
    <w:rsid w:val="007F11A7"/>
    <w:rsid w:val="00825449"/>
    <w:rsid w:val="008448F6"/>
    <w:rsid w:val="008F1008"/>
    <w:rsid w:val="00941DFB"/>
    <w:rsid w:val="009D2D69"/>
    <w:rsid w:val="00A17608"/>
    <w:rsid w:val="00A33FBC"/>
    <w:rsid w:val="00AA34E8"/>
    <w:rsid w:val="00AE2971"/>
    <w:rsid w:val="00AF1FD6"/>
    <w:rsid w:val="00B0199F"/>
    <w:rsid w:val="00B06ED1"/>
    <w:rsid w:val="00B3631C"/>
    <w:rsid w:val="00B53BB0"/>
    <w:rsid w:val="00B67D5F"/>
    <w:rsid w:val="00B7266B"/>
    <w:rsid w:val="00BB6C9B"/>
    <w:rsid w:val="00BD384E"/>
    <w:rsid w:val="00BE0AE7"/>
    <w:rsid w:val="00C16529"/>
    <w:rsid w:val="00C2533C"/>
    <w:rsid w:val="00C55E63"/>
    <w:rsid w:val="00D30FE4"/>
    <w:rsid w:val="00D533E1"/>
    <w:rsid w:val="00D92C9B"/>
    <w:rsid w:val="00DB06F8"/>
    <w:rsid w:val="00E36740"/>
    <w:rsid w:val="00F1023E"/>
    <w:rsid w:val="00F51531"/>
    <w:rsid w:val="00F66FEC"/>
    <w:rsid w:val="00F942E9"/>
    <w:rsid w:val="00FF6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072804"/>
    <w:rPr>
      <w:rFonts w:ascii="Arial" w:hAnsi="Arial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2176"/>
    <w:pPr>
      <w:spacing w:before="480"/>
      <w:contextualSpacing/>
      <w:outlineLvl w:val="0"/>
    </w:pPr>
    <w:rPr>
      <w:rFonts w:ascii="Cambria" w:hAnsi="Cambria"/>
      <w:smallCaps/>
      <w:spacing w:val="5"/>
      <w:sz w:val="36"/>
      <w:szCs w:val="36"/>
    </w:rPr>
  </w:style>
  <w:style w:type="paragraph" w:styleId="Heading2">
    <w:name w:val="heading 2"/>
    <w:aliases w:val="h2"/>
    <w:basedOn w:val="Normal"/>
    <w:next w:val="Normal"/>
    <w:link w:val="Heading2Char"/>
    <w:uiPriority w:val="99"/>
    <w:qFormat/>
    <w:rsid w:val="001A2176"/>
    <w:pPr>
      <w:spacing w:before="200" w:line="271" w:lineRule="auto"/>
      <w:outlineLvl w:val="1"/>
    </w:pPr>
    <w:rPr>
      <w:rFonts w:ascii="Cambria" w:hAnsi="Cambria"/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A2176"/>
    <w:pPr>
      <w:spacing w:before="200" w:line="271" w:lineRule="auto"/>
      <w:outlineLvl w:val="2"/>
    </w:pPr>
    <w:rPr>
      <w:rFonts w:ascii="Cambria" w:hAnsi="Cambria"/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72804"/>
    <w:pPr>
      <w:keepNext/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A2176"/>
    <w:pPr>
      <w:spacing w:line="271" w:lineRule="auto"/>
      <w:outlineLvl w:val="4"/>
    </w:pPr>
    <w:rPr>
      <w:rFonts w:ascii="Cambria" w:hAnsi="Cambria"/>
      <w:i/>
      <w:iCs/>
      <w:sz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A2176"/>
    <w:pPr>
      <w:shd w:val="clear" w:color="auto" w:fill="FFFFFF"/>
      <w:spacing w:line="271" w:lineRule="auto"/>
      <w:outlineLvl w:val="5"/>
    </w:pPr>
    <w:rPr>
      <w:rFonts w:ascii="Cambria" w:hAnsi="Cambria"/>
      <w:b/>
      <w:bCs/>
      <w:color w:val="595959"/>
      <w:spacing w:val="5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A2176"/>
    <w:pPr>
      <w:outlineLvl w:val="6"/>
    </w:pPr>
    <w:rPr>
      <w:rFonts w:ascii="Cambria" w:hAnsi="Cambria"/>
      <w:b/>
      <w:bCs/>
      <w:i/>
      <w:iCs/>
      <w:color w:val="5A5A5A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A2176"/>
    <w:pPr>
      <w:outlineLvl w:val="7"/>
    </w:pPr>
    <w:rPr>
      <w:rFonts w:ascii="Cambria" w:hAnsi="Cambria"/>
      <w:b/>
      <w:bCs/>
      <w:color w:val="7F7F7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A2176"/>
    <w:pPr>
      <w:spacing w:line="271" w:lineRule="auto"/>
      <w:outlineLvl w:val="8"/>
    </w:pPr>
    <w:rPr>
      <w:rFonts w:ascii="Cambria" w:hAnsi="Cambria"/>
      <w:b/>
      <w:bCs/>
      <w:i/>
      <w:iCs/>
      <w:color w:val="7F7F7F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2176"/>
    <w:rPr>
      <w:rFonts w:cs="Times New Roman"/>
      <w:smallCaps/>
      <w:spacing w:val="5"/>
      <w:sz w:val="36"/>
      <w:szCs w:val="36"/>
    </w:rPr>
  </w:style>
  <w:style w:type="character" w:customStyle="1" w:styleId="Heading2Char">
    <w:name w:val="Heading 2 Char"/>
    <w:aliases w:val="h2 Char"/>
    <w:basedOn w:val="DefaultParagraphFont"/>
    <w:link w:val="Heading2"/>
    <w:uiPriority w:val="99"/>
    <w:locked/>
    <w:rsid w:val="001A2176"/>
    <w:rPr>
      <w:rFonts w:cs="Times New Roman"/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A2176"/>
    <w:rPr>
      <w:rFonts w:cs="Times New Roman"/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72804"/>
    <w:rPr>
      <w:rFonts w:ascii="Arial" w:hAnsi="Arial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A2176"/>
    <w:rPr>
      <w:rFonts w:cs="Times New Roman"/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A2176"/>
    <w:rPr>
      <w:rFonts w:cs="Times New Roman"/>
      <w:b/>
      <w:bCs/>
      <w:color w:val="595959"/>
      <w:spacing w:val="5"/>
      <w:shd w:val="clear" w:color="auto" w:fill="FFFFFF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A2176"/>
    <w:rPr>
      <w:rFonts w:cs="Times New Roman"/>
      <w:b/>
      <w:bCs/>
      <w:i/>
      <w:iCs/>
      <w:color w:val="5A5A5A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A2176"/>
    <w:rPr>
      <w:rFonts w:cs="Times New Roman"/>
      <w:b/>
      <w:bCs/>
      <w:color w:val="7F7F7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A2176"/>
    <w:rPr>
      <w:rFonts w:cs="Times New Roman"/>
      <w:b/>
      <w:bCs/>
      <w:i/>
      <w:iCs/>
      <w:color w:val="7F7F7F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1A2176"/>
    <w:pPr>
      <w:spacing w:after="300"/>
      <w:contextualSpacing/>
    </w:pPr>
    <w:rPr>
      <w:rFonts w:ascii="Cambria" w:hAnsi="Cambria"/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1A2176"/>
    <w:rPr>
      <w:rFonts w:cs="Times New Roman"/>
      <w:smallCaps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1A2176"/>
    <w:rPr>
      <w:rFonts w:ascii="Cambria" w:hAnsi="Cambria"/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A2176"/>
    <w:rPr>
      <w:rFonts w:cs="Times New Roman"/>
      <w:i/>
      <w:iCs/>
      <w:smallCaps/>
      <w:spacing w:val="10"/>
      <w:sz w:val="28"/>
      <w:szCs w:val="28"/>
    </w:rPr>
  </w:style>
  <w:style w:type="character" w:styleId="Strong">
    <w:name w:val="Strong"/>
    <w:basedOn w:val="DefaultParagraphFont"/>
    <w:uiPriority w:val="99"/>
    <w:qFormat/>
    <w:rsid w:val="001A2176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1A2176"/>
    <w:rPr>
      <w:rFonts w:cs="Times New Roman"/>
      <w:b/>
      <w:i/>
      <w:spacing w:val="10"/>
    </w:rPr>
  </w:style>
  <w:style w:type="paragraph" w:styleId="NoSpacing">
    <w:name w:val="No Spacing"/>
    <w:basedOn w:val="Normal"/>
    <w:uiPriority w:val="99"/>
    <w:qFormat/>
    <w:rsid w:val="001A2176"/>
  </w:style>
  <w:style w:type="paragraph" w:styleId="ListParagraph">
    <w:name w:val="List Paragraph"/>
    <w:basedOn w:val="Normal"/>
    <w:uiPriority w:val="99"/>
    <w:qFormat/>
    <w:rsid w:val="001A217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1A2176"/>
    <w:rPr>
      <w:rFonts w:ascii="Cambria" w:hAnsi="Cambria"/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1A2176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1A2176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1A2176"/>
    <w:rPr>
      <w:rFonts w:cs="Times New Roman"/>
      <w:i/>
      <w:iCs/>
    </w:rPr>
  </w:style>
  <w:style w:type="character" w:styleId="SubtleEmphasis">
    <w:name w:val="Subtle Emphasis"/>
    <w:basedOn w:val="DefaultParagraphFont"/>
    <w:uiPriority w:val="99"/>
    <w:qFormat/>
    <w:rsid w:val="001A2176"/>
    <w:rPr>
      <w:i/>
    </w:rPr>
  </w:style>
  <w:style w:type="character" w:styleId="IntenseEmphasis">
    <w:name w:val="Intense Emphasis"/>
    <w:basedOn w:val="DefaultParagraphFont"/>
    <w:uiPriority w:val="99"/>
    <w:qFormat/>
    <w:rsid w:val="001A2176"/>
    <w:rPr>
      <w:b/>
      <w:i/>
    </w:rPr>
  </w:style>
  <w:style w:type="character" w:styleId="SubtleReference">
    <w:name w:val="Subtle Reference"/>
    <w:basedOn w:val="DefaultParagraphFont"/>
    <w:uiPriority w:val="99"/>
    <w:qFormat/>
    <w:rsid w:val="001A2176"/>
    <w:rPr>
      <w:rFonts w:cs="Times New Roman"/>
      <w:smallCaps/>
    </w:rPr>
  </w:style>
  <w:style w:type="character" w:styleId="IntenseReference">
    <w:name w:val="Intense Reference"/>
    <w:basedOn w:val="DefaultParagraphFont"/>
    <w:uiPriority w:val="99"/>
    <w:qFormat/>
    <w:rsid w:val="001A2176"/>
    <w:rPr>
      <w:b/>
      <w:smallCaps/>
    </w:rPr>
  </w:style>
  <w:style w:type="character" w:styleId="BookTitle">
    <w:name w:val="Book Title"/>
    <w:basedOn w:val="DefaultParagraphFont"/>
    <w:uiPriority w:val="99"/>
    <w:qFormat/>
    <w:rsid w:val="001A2176"/>
    <w:rPr>
      <w:rFonts w:cs="Times New Roman"/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1A2176"/>
    <w:pPr>
      <w:outlineLvl w:val="9"/>
    </w:pPr>
    <w:rPr>
      <w:rFonts w:ascii="Arial" w:hAnsi="Arial"/>
    </w:rPr>
  </w:style>
  <w:style w:type="character" w:styleId="Hyperlink">
    <w:name w:val="Hyperlink"/>
    <w:basedOn w:val="DefaultParagraphFont"/>
    <w:uiPriority w:val="99"/>
    <w:rsid w:val="00167470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51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1531"/>
    <w:rPr>
      <w:rFonts w:ascii="Tahoma" w:hAnsi="Tahoma" w:cs="Tahoma"/>
      <w:sz w:val="16"/>
      <w:szCs w:val="16"/>
      <w:lang w:val="de-DE" w:bidi="ar-SA"/>
    </w:rPr>
  </w:style>
  <w:style w:type="paragraph" w:styleId="FootnoteText">
    <w:name w:val="footnote text"/>
    <w:basedOn w:val="Normal"/>
    <w:link w:val="FootnoteTextChar"/>
    <w:uiPriority w:val="99"/>
    <w:semiHidden/>
    <w:rsid w:val="00BE0AE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E0AE7"/>
    <w:rPr>
      <w:rFonts w:ascii="Arial" w:hAnsi="Arial" w:cs="Times New Roman"/>
      <w:sz w:val="20"/>
      <w:szCs w:val="20"/>
      <w:lang w:val="de-DE" w:bidi="ar-SA"/>
    </w:rPr>
  </w:style>
  <w:style w:type="character" w:styleId="FootnoteReference">
    <w:name w:val="footnote reference"/>
    <w:basedOn w:val="DefaultParagraphFont"/>
    <w:uiPriority w:val="99"/>
    <w:semiHidden/>
    <w:rsid w:val="00BE0AE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LBT%20approach%20R3a/ShowLBTapproachR3a.java" TargetMode="External"/><Relationship Id="rId13" Type="http://schemas.openxmlformats.org/officeDocument/2006/relationships/image" Target="media/image3.wmf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file:///h:\SEAMCAT\SE24%20LBT%20und%20anderes\LBT%20approach%20as%20post%20processing\doc\index.html" TargetMode="Externa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606</Words>
  <Characters>3825</Characters>
  <Application>Microsoft Office Outlook</Application>
  <DocSecurity>0</DocSecurity>
  <Lines>0</Lines>
  <Paragraphs>0</Paragraphs>
  <ScaleCrop>false</ScaleCrop>
  <Company>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 Koch</dc:creator>
  <cp:keywords/>
  <dc:description/>
  <cp:lastModifiedBy>220-1_</cp:lastModifiedBy>
  <cp:revision>7</cp:revision>
  <dcterms:created xsi:type="dcterms:W3CDTF">2012-09-29T09:15:00Z</dcterms:created>
  <dcterms:modified xsi:type="dcterms:W3CDTF">2012-10-01T07:53:00Z</dcterms:modified>
</cp:coreProperties>
</file>